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Order Schedule 14 (Service Levels)</w:t>
      </w:r>
      <w:r w:rsidDel="00000000" w:rsidR="00000000" w:rsidRPr="00000000">
        <w:rPr>
          <w:rtl w:val="0"/>
        </w:rPr>
      </w:r>
    </w:p>
    <w:p w:rsidR="00000000" w:rsidDel="00000000" w:rsidP="00000000" w:rsidRDefault="00000000" w:rsidRPr="00000000" w14:paraId="00000002">
      <w:pPr>
        <w:numPr>
          <w:ilvl w:val="0"/>
          <w:numId w:val="4"/>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37" w:hanging="737"/>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 w:val="left" w:leader="none" w:pos="-179"/>
              </w:tabs>
              <w:spacing w:after="12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5"/>
                <w:tab w:val="left" w:leader="none" w:pos="-17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0"/>
                <w:tab w:val="left" w:leader="none" w:pos="-179"/>
                <w:tab w:val="left" w:leader="none" w:pos="-9"/>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service credits specified in the Annex to Part A of this Schedule being payable by the Agency to the Client in respect of any failure by the Agency to meet one or more Service Levels;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 w:val="left" w:leader="none" w:pos="-179"/>
                <w:tab w:val="left" w:leader="none" w:pos="-9"/>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3">
      <w:pPr>
        <w:numPr>
          <w:ilvl w:val="0"/>
          <w:numId w:val="4"/>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at all times provide the Goods or Services to meet or exceed the Service Level Performance Measure for each Service Level.</w:t>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acknowledges that any Service Level Failure shall entitle the Client to the rights set out in Part A of this Schedule including the right to any Service Credits and that any Service Credit is a price adjustment and not an estimate of the Loss that may be suffered by the Client as a result of the Agency’s failure to meet any Service Level Performance Measure.</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send Performance Monitoring Reports to the Client detailing the level of service which was achieved in accordance with the provisions of Part B (Performance Monitoring) of this Schedule.</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Service Credit shall be the Client’s exclusive financial remedy for a Service Level Failure except where:</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has over the previous (twelve) 12 Month period exceeded the Service Credit Cap; and/or</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Agency; </w:t>
      </w:r>
    </w:p>
    <w:p w:rsidR="00000000" w:rsidDel="00000000" w:rsidP="00000000" w:rsidRDefault="00000000" w:rsidRPr="00000000" w14:paraId="0000001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1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Client being required to make a compensation payment to one or more third parties; and/or</w:t>
      </w:r>
    </w:p>
    <w:p w:rsidR="00000000" w:rsidDel="00000000" w:rsidP="00000000" w:rsidRDefault="00000000" w:rsidRPr="00000000" w14:paraId="0000001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is otherwise entitled to or does terminate this Contract pursuant to Clause 10.4 (CCS and Client Termination Rights).</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Client may, on giving the Agency at least three (3) Months’ notice, change the weighting of Service Level Performance Measure in respect of one or more Service Levels and the Agency shall not be entitled to object to, or increase the Charges as a result of such changes, provided that:</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Client's business requirements and/or priorities or to reflect changing industry standards; and</w:t>
      </w:r>
    </w:p>
    <w:p w:rsidR="00000000" w:rsidDel="00000000" w:rsidP="00000000" w:rsidRDefault="00000000" w:rsidRPr="00000000" w14:paraId="00000022">
      <w:pPr>
        <w:numPr>
          <w:ilvl w:val="0"/>
          <w:numId w:val="4"/>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r w:rsidDel="00000000" w:rsidR="00000000" w:rsidRPr="00000000">
        <w:rPr>
          <w:rtl w:val="0"/>
        </w:rPr>
      </w:r>
    </w:p>
    <w:p w:rsidR="00000000" w:rsidDel="00000000" w:rsidP="00000000" w:rsidRDefault="00000000" w:rsidRPr="00000000" w14:paraId="0000002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4">
      <w:pPr>
        <w:numPr>
          <w:ilvl w:val="2"/>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5">
      <w:pPr>
        <w:numPr>
          <w:ilvl w:val="2"/>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Client shall be entitled to withhold and retain as compensation a sum equal to any Charges which would otherwise have been due to the Agency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240" w:lineRule="auto"/>
        <w:ind w:left="17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Client to terminate this Contract and/or to claim damages from the Agency for material Default.</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24"/>
          <w:szCs w:val="24"/>
          <w:rtl w:val="0"/>
        </w:rPr>
        <w:t xml:space="preserve">Part A: Service Levels and Service Credits</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567" w:hanging="567"/>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Service Levels</w:t>
      </w: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Agency:</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immediately notify the Client in writing and the Client, in its absolute discretion and without limiting any other of its rights, may:</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Agency to immediately take all remedial action that is reasonable to mitigate the impact on the Client and to rectify or prevent a Service Level Failure or Critical Service Level Failure from taking place or recurring;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Agency to comply with the Rectification Plan Process; </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Agency to the Client; and/or</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567" w:hanging="56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Service Credits</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use the Performance Monitoring Reports supplied by the Agency to verify the calculation and accuracy of the Service Credits, if any, applicable to each Service Period.</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Goods or Services and do not include VAT. The Agency shall set-off the value of any Service Credits against the appropriate invoice in accordance </w:t>
      </w:r>
      <w:r w:rsidDel="00000000" w:rsidR="00000000" w:rsidRPr="00000000">
        <w:rPr>
          <w:rFonts w:ascii="Arial" w:cs="Arial" w:eastAsia="Arial" w:hAnsi="Arial"/>
          <w:sz w:val="24"/>
          <w:szCs w:val="24"/>
          <w:rtl w:val="0"/>
        </w:rPr>
        <w:t xml:space="preserve">with the calculation</w:t>
      </w:r>
      <w:r w:rsidDel="00000000" w:rsidR="00000000" w:rsidRPr="00000000">
        <w:rPr>
          <w:rFonts w:ascii="Arial" w:cs="Arial" w:eastAsia="Arial" w:hAnsi="Arial"/>
          <w:color w:val="000000"/>
          <w:sz w:val="24"/>
          <w:szCs w:val="24"/>
          <w:rtl w:val="0"/>
        </w:rPr>
        <w:t xml:space="preserve"> formula in the Annex to Part A of this Schedule.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72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24"/>
          <w:szCs w:val="24"/>
          <w:rtl w:val="0"/>
        </w:rPr>
        <w:t xml:space="preserve">Annex A to Part A: Services Levels and Service Credits Table</w:t>
      </w:r>
    </w:p>
    <w:p w:rsidR="00000000" w:rsidDel="00000000" w:rsidP="00000000" w:rsidRDefault="00000000" w:rsidRPr="00000000" w14:paraId="00000036">
      <w:pPr>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sz w:val="24"/>
          <w:szCs w:val="24"/>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8"/>
        <w:gridCol w:w="2257"/>
        <w:gridCol w:w="2257"/>
        <w:gridCol w:w="2257"/>
        <w:tblGridChange w:id="0">
          <w:tblGrid>
            <w:gridCol w:w="2258"/>
            <w:gridCol w:w="2257"/>
            <w:gridCol w:w="2257"/>
            <w:gridCol w:w="2257"/>
          </w:tblGrid>
        </w:tblGridChange>
      </w:tblGrid>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039">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KPI/SLA</w:t>
            </w:r>
          </w:p>
        </w:tc>
        <w:tc>
          <w:tcPr>
            <w:shd w:fill="a4c2f4" w:val="clear"/>
            <w:tcMar>
              <w:top w:w="100.0" w:type="dxa"/>
              <w:left w:w="100.0" w:type="dxa"/>
              <w:bottom w:w="100.0" w:type="dxa"/>
              <w:right w:w="100.0" w:type="dxa"/>
            </w:tcMar>
          </w:tcPr>
          <w:p w:rsidR="00000000" w:rsidDel="00000000" w:rsidP="00000000" w:rsidRDefault="00000000" w:rsidRPr="00000000" w14:paraId="0000003A">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Service Area</w:t>
            </w:r>
          </w:p>
        </w:tc>
        <w:tc>
          <w:tcPr>
            <w:shd w:fill="a4c2f4" w:val="clear"/>
            <w:tcMar>
              <w:top w:w="100.0" w:type="dxa"/>
              <w:left w:w="100.0" w:type="dxa"/>
              <w:bottom w:w="100.0" w:type="dxa"/>
              <w:right w:w="100.0" w:type="dxa"/>
            </w:tcMar>
          </w:tcPr>
          <w:p w:rsidR="00000000" w:rsidDel="00000000" w:rsidP="00000000" w:rsidRDefault="00000000" w:rsidRPr="00000000" w14:paraId="0000003B">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KPI/SLA Description</w:t>
            </w:r>
          </w:p>
        </w:tc>
        <w:tc>
          <w:tcPr>
            <w:shd w:fill="a4c2f4" w:val="clear"/>
            <w:tcMar>
              <w:top w:w="100.0" w:type="dxa"/>
              <w:left w:w="100.0" w:type="dxa"/>
              <w:bottom w:w="100.0" w:type="dxa"/>
              <w:right w:w="100.0" w:type="dxa"/>
            </w:tcMar>
          </w:tcPr>
          <w:p w:rsidR="00000000" w:rsidDel="00000000" w:rsidP="00000000" w:rsidRDefault="00000000" w:rsidRPr="00000000" w14:paraId="0000003C">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Target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Invite conversion rate</w:t>
            </w:r>
          </w:p>
        </w:tc>
        <w:tc>
          <w:tcPr>
            <w:shd w:fill="auto" w:val="clear"/>
            <w:tcMar>
              <w:top w:w="100.0" w:type="dxa"/>
              <w:left w:w="100.0" w:type="dxa"/>
              <w:bottom w:w="100.0" w:type="dxa"/>
              <w:right w:w="100.0" w:type="dxa"/>
            </w:tcMar>
          </w:tcPr>
          <w:p w:rsidR="00000000" w:rsidDel="00000000" w:rsidP="00000000" w:rsidRDefault="00000000" w:rsidRPr="00000000" w14:paraId="0000003F">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Achieve attendance goal: 120 people for larger public events, 12 for smaller events.</w:t>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1">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42">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Geographic Spread</w:t>
            </w:r>
          </w:p>
        </w:tc>
        <w:tc>
          <w:tcPr>
            <w:shd w:fill="auto" w:val="clear"/>
            <w:tcMar>
              <w:top w:w="100.0" w:type="dxa"/>
              <w:left w:w="100.0" w:type="dxa"/>
              <w:bottom w:w="100.0" w:type="dxa"/>
              <w:right w:w="100.0" w:type="dxa"/>
            </w:tcMar>
          </w:tcPr>
          <w:p w:rsidR="00000000" w:rsidDel="00000000" w:rsidP="00000000" w:rsidRDefault="00000000" w:rsidRPr="00000000" w14:paraId="00000043">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Achieve geographic spread goal: up to 300 events are spread across all 318 local authorities in England, 22 unitary authorities in Wales, 32 unitary authorities in Scotland and 11 unitary authorities in Northern Ireland.</w:t>
            </w:r>
          </w:p>
        </w:tc>
        <w:tc>
          <w:tcPr>
            <w:shd w:fill="auto" w:val="clear"/>
            <w:tcMar>
              <w:top w:w="100.0" w:type="dxa"/>
              <w:left w:w="100.0" w:type="dxa"/>
              <w:bottom w:w="100.0" w:type="dxa"/>
              <w:right w:w="100.0" w:type="dxa"/>
            </w:tcMar>
          </w:tcPr>
          <w:p w:rsidR="00000000" w:rsidDel="00000000" w:rsidP="00000000" w:rsidRDefault="00000000" w:rsidRPr="00000000" w14:paraId="00000044">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Hold events in 80% of local and unitary authorities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5">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46">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Customer satisfaction score</w:t>
            </w:r>
          </w:p>
        </w:tc>
        <w:tc>
          <w:tcPr>
            <w:shd w:fill="auto" w:val="clear"/>
            <w:tcMar>
              <w:top w:w="100.0" w:type="dxa"/>
              <w:left w:w="100.0" w:type="dxa"/>
              <w:bottom w:w="100.0" w:type="dxa"/>
              <w:right w:w="100.0" w:type="dxa"/>
            </w:tcMar>
          </w:tcPr>
          <w:p w:rsidR="00000000" w:rsidDel="00000000" w:rsidP="00000000" w:rsidRDefault="00000000" w:rsidRPr="00000000" w14:paraId="00000047">
            <w:pPr>
              <w:widowControl w:val="0"/>
              <w:spacing w:after="0" w:line="240" w:lineRule="auto"/>
              <w:rPr>
                <w:rFonts w:ascii="Arial" w:cs="Arial" w:eastAsia="Arial" w:hAnsi="Arial"/>
                <w:b w:val="0"/>
                <w:color w:val="000000"/>
                <w:sz w:val="24"/>
                <w:szCs w:val="24"/>
              </w:rPr>
            </w:pPr>
            <w:bookmarkStart w:colFirst="0" w:colLast="0" w:name="_heading=h.1fob9te" w:id="0"/>
            <w:bookmarkEnd w:id="0"/>
            <w:r w:rsidDel="00000000" w:rsidR="00000000" w:rsidRPr="00000000">
              <w:rPr>
                <w:rFonts w:ascii="Arial" w:cs="Arial" w:eastAsia="Arial" w:hAnsi="Arial"/>
                <w:b w:val="0"/>
                <w:color w:val="000000"/>
                <w:sz w:val="24"/>
                <w:szCs w:val="24"/>
                <w:rtl w:val="0"/>
              </w:rPr>
              <w:t xml:space="preserve">Ensure those feeding back via post-event evaluation feel listened to and feel the event was well organised.</w:t>
            </w:r>
          </w:p>
          <w:p w:rsidR="00000000" w:rsidDel="00000000" w:rsidP="00000000" w:rsidRDefault="00000000" w:rsidRPr="00000000" w14:paraId="00000048">
            <w:pPr>
              <w:widowControl w:val="0"/>
              <w:spacing w:after="0" w:line="240" w:lineRule="auto"/>
              <w:rPr>
                <w:rFonts w:ascii="Arial" w:cs="Arial" w:eastAsia="Arial" w:hAnsi="Arial"/>
                <w:b w:val="0"/>
                <w:color w:val="000000"/>
                <w:sz w:val="24"/>
                <w:szCs w:val="24"/>
              </w:rPr>
            </w:pPr>
            <w:bookmarkStart w:colFirst="0" w:colLast="0" w:name="_heading=h.hswmv6u0k1ns" w:id="1"/>
            <w:bookmarkEnd w:id="1"/>
            <w:r w:rsidDel="00000000" w:rsidR="00000000" w:rsidRPr="00000000">
              <w:rPr>
                <w:rtl w:val="0"/>
              </w:rPr>
            </w:r>
          </w:p>
          <w:p w:rsidR="00000000" w:rsidDel="00000000" w:rsidP="00000000" w:rsidRDefault="00000000" w:rsidRPr="00000000" w14:paraId="00000049">
            <w:pPr>
              <w:widowControl w:val="0"/>
              <w:spacing w:after="0" w:line="240" w:lineRule="auto"/>
              <w:rPr>
                <w:rFonts w:ascii="Arial" w:cs="Arial" w:eastAsia="Arial" w:hAnsi="Arial"/>
                <w:b w:val="0"/>
                <w:color w:val="000000"/>
                <w:sz w:val="24"/>
                <w:szCs w:val="24"/>
              </w:rPr>
            </w:pPr>
            <w:bookmarkStart w:colFirst="0" w:colLast="0" w:name="_heading=h.olx709obnkdi" w:id="2"/>
            <w:bookmarkEnd w:id="2"/>
            <w:r w:rsidDel="00000000" w:rsidR="00000000" w:rsidRPr="00000000">
              <w:rPr>
                <w:rFonts w:ascii="Arial" w:cs="Arial" w:eastAsia="Arial" w:hAnsi="Arial"/>
                <w:b w:val="0"/>
                <w:color w:val="000000"/>
                <w:sz w:val="24"/>
                <w:szCs w:val="24"/>
                <w:rtl w:val="0"/>
              </w:rPr>
              <w:t xml:space="preserve">Performance measure must meet or exceed the % target</w:t>
            </w:r>
          </w:p>
        </w:tc>
        <w:tc>
          <w:tcPr>
            <w:shd w:fill="auto" w:val="clear"/>
            <w:tcMar>
              <w:top w:w="100.0" w:type="dxa"/>
              <w:left w:w="100.0" w:type="dxa"/>
              <w:bottom w:w="100.0" w:type="dxa"/>
              <w:right w:w="100.0" w:type="dxa"/>
            </w:tcMar>
          </w:tcPr>
          <w:p w:rsidR="00000000" w:rsidDel="00000000" w:rsidP="00000000" w:rsidRDefault="00000000" w:rsidRPr="00000000" w14:paraId="0000004A">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Minimum 70% (of those participants who feed back via post-event evaluation)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B">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Reporting</w:t>
            </w:r>
          </w:p>
        </w:tc>
        <w:tc>
          <w:tcPr>
            <w:shd w:fill="auto" w:val="clear"/>
            <w:tcMar>
              <w:top w:w="100.0" w:type="dxa"/>
              <w:left w:w="100.0" w:type="dxa"/>
              <w:bottom w:w="100.0" w:type="dxa"/>
              <w:right w:w="100.0" w:type="dxa"/>
            </w:tcMar>
          </w:tcPr>
          <w:p w:rsidR="00000000" w:rsidDel="00000000" w:rsidP="00000000" w:rsidRDefault="00000000" w:rsidRPr="00000000" w14:paraId="0000004D">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Produce written summaries in a consistent format (pro forma to be agreed with the Inquiry to enable this). We would produce a summary after every event and 6 monthly summary reports to feed into the relevant Inquiry modules, and make module-relevant information clear.</w:t>
            </w:r>
          </w:p>
        </w:tc>
        <w:tc>
          <w:tcPr>
            <w:shd w:fill="auto" w:val="clear"/>
            <w:tcMar>
              <w:top w:w="100.0" w:type="dxa"/>
              <w:left w:w="100.0" w:type="dxa"/>
              <w:bottom w:w="100.0" w:type="dxa"/>
              <w:right w:w="100.0" w:type="dxa"/>
            </w:tcMar>
          </w:tcPr>
          <w:p w:rsidR="00000000" w:rsidDel="00000000" w:rsidP="00000000" w:rsidRDefault="00000000" w:rsidRPr="00000000" w14:paraId="0000004E">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F">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Responsiveness to emails from Inquiry Staff</w:t>
            </w:r>
          </w:p>
        </w:tc>
        <w:tc>
          <w:tcPr>
            <w:shd w:fill="auto" w:val="clear"/>
            <w:tcMar>
              <w:top w:w="100.0" w:type="dxa"/>
              <w:left w:w="100.0" w:type="dxa"/>
              <w:bottom w:w="100.0" w:type="dxa"/>
              <w:right w:w="100.0" w:type="dxa"/>
            </w:tcMar>
          </w:tcPr>
          <w:p w:rsidR="00000000" w:rsidDel="00000000" w:rsidP="00000000" w:rsidRDefault="00000000" w:rsidRPr="00000000" w14:paraId="00000051">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provide a full response addressing all questions posed in emails from Inquiry staff marked as “urgent” within 24 hours of receipt (on working days, excluding weekends).</w:t>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3">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shd w:fill="auto" w:val="clear"/>
            <w:tcMar>
              <w:top w:w="100.0" w:type="dxa"/>
              <w:left w:w="100.0" w:type="dxa"/>
              <w:bottom w:w="100.0" w:type="dxa"/>
              <w:right w:w="100.0" w:type="dxa"/>
            </w:tcMar>
          </w:tcPr>
          <w:p w:rsidR="00000000" w:rsidDel="00000000" w:rsidP="00000000" w:rsidRDefault="00000000" w:rsidRPr="00000000" w14:paraId="00000054">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 and support</w:t>
            </w:r>
          </w:p>
        </w:tc>
        <w:tc>
          <w:tcPr>
            <w:shd w:fill="auto" w:val="clear"/>
            <w:tcMar>
              <w:top w:w="100.0" w:type="dxa"/>
              <w:left w:w="100.0" w:type="dxa"/>
              <w:bottom w:w="100.0" w:type="dxa"/>
              <w:right w:w="100.0" w:type="dxa"/>
            </w:tcMar>
          </w:tcPr>
          <w:p w:rsidR="00000000" w:rsidDel="00000000" w:rsidP="00000000" w:rsidRDefault="00000000" w:rsidRPr="00000000" w14:paraId="00000055">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safeguarding concerns must be raised on the day that they took place with Inquiry staff and escalated within a maximum of 24 hours to the Inquiry Safeguarding and Support team (on all days including weekends). Concerns where there is an immediate risk to the person must be escalated to the Inquiry team on that calendar day.</w:t>
            </w:r>
          </w:p>
        </w:tc>
        <w:tc>
          <w:tcPr>
            <w:shd w:fill="auto" w:val="clear"/>
            <w:tcMar>
              <w:top w:w="100.0" w:type="dxa"/>
              <w:left w:w="100.0" w:type="dxa"/>
              <w:bottom w:w="100.0" w:type="dxa"/>
              <w:right w:w="100.0" w:type="dxa"/>
            </w:tcMar>
          </w:tcPr>
          <w:p w:rsidR="00000000" w:rsidDel="00000000" w:rsidP="00000000" w:rsidRDefault="00000000" w:rsidRPr="00000000" w14:paraId="00000056">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bl>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tl w:val="0"/>
        </w:rPr>
      </w:r>
    </w:p>
    <w:tbl>
      <w:tblPr>
        <w:tblStyle w:val="Table3"/>
        <w:tblW w:w="793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2948"/>
        <w:tblGridChange w:id="0">
          <w:tblGrid>
            <w:gridCol w:w="1713"/>
            <w:gridCol w:w="1571"/>
            <w:gridCol w:w="1701"/>
            <w:gridCol w:w="2948"/>
          </w:tblGrid>
        </w:tblGridChange>
      </w:tblGrid>
      <w:tr>
        <w:trPr>
          <w:cantSplit w:val="0"/>
          <w:trHeight w:val="1213" w:hRule="atLeast"/>
          <w:tblHeader w:val="0"/>
        </w:trPr>
        <w:tc>
          <w:tcPr>
            <w:gridSpan w:val="4"/>
            <w:shd w:fill="d9d9d9" w:val="clear"/>
          </w:tcPr>
          <w:p w:rsidR="00000000" w:rsidDel="00000000" w:rsidP="00000000" w:rsidRDefault="00000000" w:rsidRPr="00000000" w14:paraId="0000005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r>
      <w:tr>
        <w:trPr>
          <w:cantSplit w:val="0"/>
          <w:trHeight w:val="1213" w:hRule="atLeast"/>
          <w:tblHeader w:val="0"/>
        </w:trPr>
        <w:tc>
          <w:tcPr>
            <w:shd w:fill="d9d9d9" w:val="clear"/>
            <w:vAlign w:val="center"/>
          </w:tcPr>
          <w:p w:rsidR="00000000" w:rsidDel="00000000" w:rsidP="00000000" w:rsidRDefault="00000000" w:rsidRPr="00000000" w14:paraId="0000005C">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5D">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5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r>
      <w:tr>
        <w:trPr>
          <w:cantSplit w:val="0"/>
          <w:trHeight w:val="1474" w:hRule="atLeast"/>
          <w:tblHeader w:val="0"/>
        </w:trPr>
        <w:tc>
          <w:tcPr/>
          <w:p w:rsidR="00000000" w:rsidDel="00000000" w:rsidP="00000000" w:rsidRDefault="00000000" w:rsidRPr="00000000" w14:paraId="00000060">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Client</w:t>
            </w:r>
          </w:p>
          <w:p w:rsidR="00000000" w:rsidDel="00000000" w:rsidP="00000000" w:rsidRDefault="00000000" w:rsidRPr="00000000" w14:paraId="00000061">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63">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4">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65">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1474" w:hRule="atLeast"/>
          <w:tblHeader w:val="0"/>
        </w:trPr>
        <w:tc>
          <w:tcPr/>
          <w:p w:rsidR="00000000" w:rsidDel="00000000" w:rsidP="00000000" w:rsidRDefault="00000000" w:rsidRPr="00000000" w14:paraId="00000067">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Client support</w:t>
            </w:r>
          </w:p>
          <w:p w:rsidR="00000000" w:rsidDel="00000000" w:rsidP="00000000" w:rsidRDefault="00000000" w:rsidRPr="00000000" w14:paraId="00000068">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6A">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6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6F">
      <w:pPr>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br w:type="textWrapping"/>
      </w: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0">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br w:type="textWrapping"/>
      </w:r>
    </w:p>
    <w:p w:rsidR="00000000" w:rsidDel="00000000" w:rsidP="00000000" w:rsidRDefault="00000000" w:rsidRPr="00000000" w14:paraId="00000071">
      <w:pPr>
        <w:spacing w:after="200" w:line="276" w:lineRule="auto"/>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2">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br w:type="textWrapping"/>
        <w:t xml:space="preserve">Part B: Performance Monitoring </w:t>
      </w:r>
    </w:p>
    <w:p w:rsidR="00000000" w:rsidDel="00000000" w:rsidP="00000000" w:rsidRDefault="00000000" w:rsidRPr="00000000" w14:paraId="00000073">
      <w:pPr>
        <w:numPr>
          <w:ilvl w:val="0"/>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567" w:hanging="56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Performance Monitoring and Performance Review</w:t>
      </w:r>
      <w:r w:rsidDel="00000000" w:rsidR="00000000" w:rsidRPr="00000000">
        <w:rPr>
          <w:rtl w:val="0"/>
        </w:rPr>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Agency shall provide the Client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Agency shall provide the Client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1.1 of Part B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Client may reasonably require from time to time.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on a Monthly basis. The Performance Review Meetings will be the forum for the review by the Agency and the Client of the Performance Monitoring Reports.  The Performance Review Meetings shall:</w:t>
      </w:r>
      <w:r w:rsidDel="00000000" w:rsidR="00000000" w:rsidRPr="00000000">
        <w:rPr>
          <w:rtl w:val="0"/>
        </w:rPr>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Agency at such location and time (within normal business hours) as the Client shall reasonably require;</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Agency's Representative and the Client’s Representative; and</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Agency and the minutes will be circulated by the Agency to all attendees at the relevant meeting and also to the Client’s Representative and any other recipients agreed at the relevant meeting.  </w:t>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Agency's Representative and the Client’s Representative at each meeting.</w:t>
      </w:r>
    </w:p>
    <w:p w:rsidR="00000000" w:rsidDel="00000000" w:rsidP="00000000" w:rsidRDefault="00000000" w:rsidRPr="00000000" w14:paraId="00000081">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to the Client such documentation as the Client may reasonably require in order to verify the level of the performance by the Agency for any specified Service Period.</w:t>
      </w:r>
    </w:p>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44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567" w:hanging="567"/>
        <w:rPr>
          <w:rFonts w:ascii="Arial" w:cs="Arial" w:eastAsia="Arial" w:hAnsi="Arial"/>
          <w:smallCaps w:val="1"/>
          <w:color w:val="000000"/>
          <w:sz w:val="24"/>
          <w:szCs w:val="24"/>
        </w:rPr>
      </w:pPr>
      <w:bookmarkStart w:colFirst="0" w:colLast="0" w:name="_heading=h.gjdgxs" w:id="3"/>
      <w:bookmarkEnd w:id="3"/>
      <w:r w:rsidDel="00000000" w:rsidR="00000000" w:rsidRPr="00000000">
        <w:rPr>
          <w:rFonts w:ascii="Arial" w:cs="Arial" w:eastAsia="Arial" w:hAnsi="Arial"/>
          <w:b w:val="1"/>
          <w:color w:val="000000"/>
          <w:sz w:val="24"/>
          <w:szCs w:val="24"/>
          <w:rtl w:val="0"/>
        </w:rPr>
        <w:t xml:space="preserve">Satisfaction Surveys</w:t>
      </w:r>
      <w:r w:rsidDel="00000000" w:rsidR="00000000" w:rsidRPr="00000000">
        <w:rPr>
          <w:rtl w:val="0"/>
        </w:rPr>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undertake satisfaction surveys in respect of the Agency's provision of the Goods or Services. The Client shall be entitled to notify the Agency of any aspects of their performance of the provision of the Goods or Services which the responses to the Satisfaction Surveys reasonably suggest are not in accordance with this Contract.</w:t>
      </w:r>
    </w:p>
    <w:p w:rsidR="00000000" w:rsidDel="00000000" w:rsidP="00000000" w:rsidRDefault="00000000" w:rsidRPr="00000000" w14:paraId="00000085">
      <w:pPr>
        <w:keepNext w:val="1"/>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color w:val="000000"/>
          <w:sz w:val="24"/>
          <w:szCs w:val="24"/>
        </w:rPr>
      </w:pPr>
      <w:bookmarkStart w:colFirst="0" w:colLast="0" w:name="_heading=h.14ykbeg" w:id="4"/>
      <w:bookmarkEnd w:id="4"/>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8B">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14 (Service Levels)</w:t>
    </w:r>
  </w:p>
  <w:p w:rsidR="00000000" w:rsidDel="00000000" w:rsidP="00000000" w:rsidRDefault="00000000" w:rsidRPr="00000000" w14:paraId="0000008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89">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23DE1"/>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Definition" w:customStyle="1">
    <w:name w:val="GPs Definition"/>
    <w:basedOn w:val="Normal"/>
    <w:qFormat w:val="1"/>
    <w:rsid w:val="00023DE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rsid w:val="00023DE1"/>
    <w:pPr>
      <w:numPr>
        <w:ilvl w:val="1"/>
      </w:numPr>
      <w:ind w:hanging="544"/>
    </w:pPr>
  </w:style>
  <w:style w:type="paragraph" w:styleId="GPSDefinitionL3" w:customStyle="1">
    <w:name w:val="GPS Definition L3"/>
    <w:basedOn w:val="GPSDefinitionL2"/>
    <w:qFormat w:val="1"/>
    <w:rsid w:val="00023DE1"/>
    <w:pPr>
      <w:numPr>
        <w:ilvl w:val="2"/>
      </w:numPr>
    </w:pPr>
  </w:style>
  <w:style w:type="paragraph" w:styleId="GPSDefinitionL4" w:customStyle="1">
    <w:name w:val="GPS Definition L4"/>
    <w:basedOn w:val="GPSDefinitionL3"/>
    <w:qFormat w:val="1"/>
    <w:rsid w:val="00023DE1"/>
    <w:pPr>
      <w:numPr>
        <w:ilvl w:val="3"/>
      </w:numPr>
    </w:pPr>
  </w:style>
  <w:style w:type="paragraph" w:styleId="astyle" w:customStyle="1">
    <w:name w:val="a) style"/>
    <w:basedOn w:val="ListParagraph"/>
    <w:qFormat w:val="1"/>
    <w:rsid w:val="00023DE1"/>
    <w:pPr>
      <w:widowControl w:val="0"/>
      <w:numPr>
        <w:ilvl w:val="3"/>
        <w:numId w:val="4"/>
      </w:numPr>
      <w:tabs>
        <w:tab w:val="num" w:pos="360"/>
        <w:tab w:val="left" w:pos="2441"/>
      </w:tabs>
      <w:autoSpaceDE w:val="0"/>
      <w:autoSpaceDN w:val="0"/>
      <w:spacing w:after="0" w:before="1" w:line="252" w:lineRule="exact"/>
      <w:ind w:left="720" w:firstLine="0"/>
      <w:contextualSpacing w:val="0"/>
    </w:pPr>
    <w:rPr>
      <w:rFonts w:ascii="Arial" w:cs="Arial" w:hAnsi="Arial"/>
      <w:sz w:val="24"/>
      <w:szCs w:val="24"/>
    </w:rPr>
  </w:style>
  <w:style w:type="paragraph" w:styleId="ListParagraph">
    <w:name w:val="List Paragraph"/>
    <w:basedOn w:val="Normal"/>
    <w:uiPriority w:val="34"/>
    <w:qFormat w:val="1"/>
    <w:rsid w:val="00023DE1"/>
    <w:pPr>
      <w:ind w:left="720"/>
      <w:contextualSpacing w:val="1"/>
    </w:pPr>
  </w:style>
  <w:style w:type="paragraph" w:styleId="BalloonText">
    <w:name w:val="Balloon Text"/>
    <w:basedOn w:val="Normal"/>
    <w:link w:val="BalloonTextChar"/>
    <w:uiPriority w:val="99"/>
    <w:semiHidden w:val="1"/>
    <w:unhideWhenUsed w:val="1"/>
    <w:rsid w:val="00023DE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23DE1"/>
    <w:rPr>
      <w:rFonts w:ascii="Segoe UI" w:cs="Segoe UI" w:eastAsia="Calibri" w:hAnsi="Segoe UI"/>
      <w:sz w:val="18"/>
      <w:szCs w:val="18"/>
      <w:lang w:eastAsia="en-GB"/>
    </w:rPr>
  </w:style>
  <w:style w:type="paragraph" w:styleId="GPSDefinitionTerm" w:customStyle="1">
    <w:name w:val="GPS Definition Term"/>
    <w:basedOn w:val="Normal"/>
    <w:qFormat w:val="1"/>
    <w:rsid w:val="00084987"/>
    <w:pPr>
      <w:overflowPunct w:val="0"/>
      <w:autoSpaceDE w:val="0"/>
      <w:autoSpaceDN w:val="0"/>
      <w:adjustRightInd w:val="0"/>
      <w:spacing w:after="120" w:line="240" w:lineRule="auto"/>
      <w:ind w:left="-108"/>
      <w:textAlignment w:val="baseline"/>
    </w:pPr>
    <w:rPr>
      <w:rFonts w:ascii="Arial" w:cs="Arial" w:eastAsia="Times New Roman" w:hAnsi="Arial"/>
      <w:b w:val="1"/>
      <w:lang w:eastAsia="en-US"/>
    </w:rPr>
  </w:style>
  <w:style w:type="paragraph" w:styleId="GPSL1CLAUSEHEADING" w:customStyle="1">
    <w:name w:val="GPS L1 CLAUSE HEADING"/>
    <w:basedOn w:val="Normal"/>
    <w:next w:val="Normal"/>
    <w:link w:val="GPSL1CLAUSEHEADINGChar"/>
    <w:qFormat w:val="1"/>
    <w:rsid w:val="00084987"/>
    <w:pPr>
      <w:numPr>
        <w:numId w:val="8"/>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084987"/>
    <w:pPr>
      <w:numPr>
        <w:ilvl w:val="2"/>
        <w:numId w:val="8"/>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rsid w:val="00084987"/>
    <w:pPr>
      <w:numPr>
        <w:ilvl w:val="3"/>
      </w:numPr>
      <w:ind w:left="2592" w:hanging="936"/>
    </w:pPr>
  </w:style>
  <w:style w:type="paragraph" w:styleId="GPSL5numberedclause" w:customStyle="1">
    <w:name w:val="GPS L5 numbered clause"/>
    <w:basedOn w:val="GPSL4numberedclause"/>
    <w:qFormat w:val="1"/>
    <w:rsid w:val="00084987"/>
    <w:pPr>
      <w:numPr>
        <w:ilvl w:val="4"/>
      </w:numPr>
    </w:pPr>
  </w:style>
  <w:style w:type="paragraph" w:styleId="GPSL2NumberedBoldHeading" w:customStyle="1">
    <w:name w:val="GPS L2 Numbered Bold Heading"/>
    <w:basedOn w:val="Normal"/>
    <w:qFormat w:val="1"/>
    <w:rsid w:val="00084987"/>
    <w:pPr>
      <w:numPr>
        <w:ilvl w:val="1"/>
        <w:numId w:val="8"/>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rsid w:val="00084987"/>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084987"/>
    <w:rPr>
      <w:rFonts w:ascii="Calibri" w:cs="Arial" w:eastAsia="Times New Roman" w:hAnsi="Calibri"/>
      <w:lang w:eastAsia="zh-CN"/>
    </w:rPr>
  </w:style>
  <w:style w:type="character" w:styleId="GPSL4numberedclauseChar" w:customStyle="1">
    <w:name w:val="GPS L4 numbered clause Char"/>
    <w:link w:val="GPSL4numberedclause"/>
    <w:rsid w:val="00084987"/>
    <w:rPr>
      <w:rFonts w:ascii="Calibri" w:cs="Arial" w:eastAsia="Times New Roman" w:hAnsi="Calibri"/>
      <w:lang w:eastAsia="zh-CN"/>
    </w:rPr>
  </w:style>
  <w:style w:type="character" w:styleId="GPSL1CLAUSEHEADINGChar" w:customStyle="1">
    <w:name w:val="GPS L1 CLAUSE HEADING Char"/>
    <w:link w:val="GPSL1CLAUSEHEADING"/>
    <w:rsid w:val="00084987"/>
    <w:rPr>
      <w:rFonts w:ascii="Calibri" w:cs="Arial" w:eastAsia="STZhongsong" w:hAnsi="Calibri"/>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jc w:val="both"/>
    </w:pPr>
    <w:rPr>
      <w:b w:val="1"/>
      <w:color w:val="ffffff"/>
    </w:rPr>
    <w:tblPr>
      <w:tblStyleRowBandSize w:val="1"/>
      <w:tblStyleColBandSize w:val="1"/>
      <w:tblCellMar>
        <w:top w:w="100.0" w:type="dxa"/>
        <w:left w:w="100.0" w:type="dxa"/>
        <w:bottom w:w="100.0" w:type="dxa"/>
        <w:right w:w="100.0" w:type="dxa"/>
      </w:tblCellMar>
    </w:tblPr>
    <w:tcPr>
      <w:shd w:fill="ffffff" w:val="clear"/>
    </w:tc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K4bZNBB1WosKZ0msQMAv8rnnhA==">CgMxLjAyCWguMWZvYjl0ZTIOaC5oc3dtdjZ1MGsxbnMyDmgub2x4NzA5b2Jua2RpMghoLmdqZGd4czIJaC4xNHlrYmVnOAByITF2LW5qNnJ3aXI0UWk5amJrbm1xOTFlSjBGVTFfR1hWSA==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2021-07-27T12:19:00Z</dcterms:created>
  <dc:creator>Hannah Wright</dc:creator>
</cp:coreProperties>
</file>